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إهمال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متعمد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وقتل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بطئ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السجن</w:t>
      </w:r>
    </w:p>
    <w:p w:rsidR="00000000" w:rsidDel="00000000" w:rsidP="00000000" w:rsidRDefault="00000000" w:rsidRPr="00000000" w14:paraId="00000003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ورقة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موقف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بخصوص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يتعرض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المنعم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حبسه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احتياطيا</w:t>
      </w:r>
    </w:p>
    <w:p w:rsidR="00000000" w:rsidDel="00000000" w:rsidP="00000000" w:rsidRDefault="00000000" w:rsidRPr="00000000" w14:paraId="00000004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الناشر</w:t>
      </w:r>
    </w:p>
    <w:p w:rsidR="00000000" w:rsidDel="00000000" w:rsidP="00000000" w:rsidRDefault="00000000" w:rsidRPr="00000000" w14:paraId="00000017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المفوضية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للحقوق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والحريات</w:t>
      </w:r>
    </w:p>
    <w:p w:rsidR="00000000" w:rsidDel="00000000" w:rsidP="00000000" w:rsidRDefault="00000000" w:rsidRPr="00000000" w14:paraId="00000018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0" w:right="0"/>
        <w:jc w:val="center"/>
        <w:rPr>
          <w:vertAlign w:val="baseline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vertAlign w:val="baseline"/>
            <w:rtl w:val="0"/>
          </w:rPr>
          <w:t xml:space="preserve">WWW.EC-RF.ORG</w:t>
        </w:r>
      </w:hyperlink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right="0"/>
        <w:jc w:val="center"/>
        <w:rPr>
          <w:sz w:val="28"/>
          <w:szCs w:val="28"/>
          <w:vertAlign w:val="baseline"/>
        </w:rPr>
      </w:pPr>
      <w:hyperlink r:id="rId8">
        <w:r w:rsidDel="00000000" w:rsidR="00000000" w:rsidRPr="00000000">
          <w:rPr>
            <w:color w:val="0563c1"/>
            <w:sz w:val="28"/>
            <w:szCs w:val="28"/>
            <w:u w:val="single"/>
            <w:vertAlign w:val="baseline"/>
            <w:rtl w:val="0"/>
          </w:rPr>
          <w:t xml:space="preserve">Info@Rights-Freedoms.ORG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إعداد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سلمى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مصطفى</w:t>
      </w:r>
    </w:p>
    <w:p w:rsidR="00000000" w:rsidDel="00000000" w:rsidP="00000000" w:rsidRDefault="00000000" w:rsidRPr="00000000" w14:paraId="0000001F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الباحثة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بالمفوضية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للحقوق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والحريات</w:t>
      </w:r>
    </w:p>
    <w:p w:rsidR="00000000" w:rsidDel="00000000" w:rsidP="00000000" w:rsidRDefault="00000000" w:rsidRPr="00000000" w14:paraId="00000020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مراجعة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عازر</w:t>
      </w:r>
    </w:p>
    <w:p w:rsidR="00000000" w:rsidDel="00000000" w:rsidP="00000000" w:rsidRDefault="00000000" w:rsidRPr="00000000" w14:paraId="00000022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وحدة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السياسات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بالمفوضية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للحقوق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والحريات</w:t>
      </w:r>
    </w:p>
    <w:p w:rsidR="00000000" w:rsidDel="00000000" w:rsidP="00000000" w:rsidRDefault="00000000" w:rsidRPr="00000000" w14:paraId="00000023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إشراف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الحلو</w:t>
      </w:r>
    </w:p>
    <w:p w:rsidR="00000000" w:rsidDel="00000000" w:rsidP="00000000" w:rsidRDefault="00000000" w:rsidRPr="00000000" w14:paraId="00000025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الوحدة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بالمفوضية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للحقوق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والحريات</w:t>
      </w:r>
    </w:p>
    <w:p w:rsidR="00000000" w:rsidDel="00000000" w:rsidP="00000000" w:rsidRDefault="00000000" w:rsidRPr="00000000" w14:paraId="00000026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0" w:right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0" w:right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مدافع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ومرشح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لرئاسة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الجمهورية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حزب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فبراير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2018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منزله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بالتجمع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وجهت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الاتهامات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بتولي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إرهابية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ونشر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وإذاعة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كاذبة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440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2018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خلفية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النشطاء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والحقوقييين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وأعضاء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الحزب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الانتخابات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الرئاسية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عقدت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مارس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2018.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الحقوقيين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والنشطاء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طارق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البنا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ومصطفى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الأعصر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وعزت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غنيم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الحبس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الاحتياطي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ملفقة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حبس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آدمية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تناسب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حالته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0" w:right="0"/>
        <w:jc w:val="left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الانتهاكات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حبسه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انفراديا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يتريض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ضيق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معزولا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يعاني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الإهمال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مريض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بالضغط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والقلب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ومشاكل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الظهر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للمستشفى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لتلقي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يتعرض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العزلة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مزرعة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الحبس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الانفرادي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ومعزول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أفاد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محاميه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للمفوضية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محبوس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زنزانة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معزول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غرف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والعنبر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خالي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سواه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للتريض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طرقة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داخلية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بالعنبر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مساحتها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متر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متر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الاختلاط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المساجين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التريض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يقضي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صمت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مطبق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ولمدة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معيشية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سيئة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يمكث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زنزانة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ضيقة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مؤثثة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ويعاني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تواجد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الحشرات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نظافة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الزنزانة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يحضره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ذويه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يقومون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بإدخال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إهمال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طبي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متعمد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يعاني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ويحتاج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لرعاية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يعاني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بالقلب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وتعرض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ذبحات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صدرية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حبسه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التعنت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للمستشفى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وتكتفي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عيادة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مجهزة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لحالته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أفاد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محاميه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للمفوضية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ظاهري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للضغط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والسكر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ونظرا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لعزلته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وتواجده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العنبر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بمفرده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لإصابة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ظهره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تعرضه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لذبحه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صدرية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يسمعه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حينما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نادى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بالمساعدة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لوقوعه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ظهره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وإصابته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بانزلاق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غضروفي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المشي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عربية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الترحيلات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ظهره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أسوء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تقدمت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لجلسات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سيارة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إسعاف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يحضر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الجلسات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محمولا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أمناء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الشرطة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والعساكر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المشي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وأفاد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المحامي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هريدي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للمفوضية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إحضار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مؤخرا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للكشف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زنزانته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علاجه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يتعافى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وتمكن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المشي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رجليه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المنع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الزيارة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مؤخرا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زيارته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مؤخرا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ذويه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بمحاولة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زيارته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لخمسة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متتالية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جدوى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السماح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مؤخرا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برؤيته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فبراير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2019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الحراسة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حاجز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زجاجي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ind w:left="0" w:right="0"/>
        <w:jc w:val="left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الزيارات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شهدت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النشطاء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والحقوقيين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المحبوسين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الزيارة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دومة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القصاص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تعنت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الانتهاكات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المحامين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المختصين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بالدفاع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بكافة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الطلبات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وصحته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طلبات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وشكاوى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للنائب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ونيابة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المعادي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لإخلاء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سبيله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لظروفه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8">
      <w:pPr>
        <w:bidi w:val="1"/>
        <w:ind w:left="0" w:right="0"/>
        <w:jc w:val="left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طلبات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لنقله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مستشفى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لحاجته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للتواجد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بالعناية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المركزة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وأيضا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الطلبات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المتكررة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لتجهيز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سيارة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إسعاف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بنقله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جلسات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إصابته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بالانزلاق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الغضروفي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التماس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حبسه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لتلقيه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الملائم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رغم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سنه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وخطورة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حالته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خاتمة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وتوصيات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حبسه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يعرض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للخطر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ويتنافى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والدستورية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حقوقه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وأولها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حقه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يدع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مجالا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للشك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تعنت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متعمد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قتلا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بطيئا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تلقيه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تفاقم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حالته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وفاته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مهدي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عاكف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الإخوان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محبسه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الإهمال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الطبي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بحالته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باتت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الانتقام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المعارضين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والخصوم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السياسيين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يتنافى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الدستور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للحقوق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والحريات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بمجموعة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توصيات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حفاظا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واحترام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والسياسية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الأوضاع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وإخضاعها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لرقابة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تمتع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الدستور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الاحتياطي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كعقوبة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للمعتقلين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فالحبس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الاحتياطي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استبداله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بتدابير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مازالوا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مدانين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وإعمالا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الأجهزة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المعارضين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السياسيين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وخطرا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محاربتهم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والتنكيل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إسقاط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والإفراج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معتقلي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ab/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انفرادي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http://www.adalaheg.org/wp-content/uploads/2018/12/%D8%A3%D8%A8%D9%88-%D8%A7%D9%84%D9%81%D8%AA%D9%88%D8%AD.pdf?fbclid=IwAR0xZgyAevnLGhE2cKRwx-bu-1uqSGSYFDEB0AfFO-ZmI9gdlA26hn8RrEI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فبراير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2019.</w:t>
      </w:r>
    </w:p>
  </w:footnote>
  <w:footnote w:id="1">
    <w:p w:rsidR="00000000" w:rsidDel="00000000" w:rsidP="00000000" w:rsidRDefault="00000000" w:rsidRPr="00000000" w14:paraId="00000055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ab/>
        <w:t xml:space="preserve"> #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مشترك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لترهيب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الخصوم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السياسيين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؟،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https://www.ec-rf.net/?p=2824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فبراير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2019.</w:t>
      </w:r>
    </w:p>
  </w:footnote>
  <w:footnote w:id="2">
    <w:p w:rsidR="00000000" w:rsidDel="00000000" w:rsidP="00000000" w:rsidRDefault="00000000" w:rsidRPr="00000000" w14:paraId="00000057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hyperlink r:id="rId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hrlibrary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html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فبراير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2019.</w:t>
      </w:r>
    </w:p>
  </w:footnote>
  <w:footnote w:id="3">
    <w:p w:rsidR="00000000" w:rsidDel="00000000" w:rsidP="00000000" w:rsidRDefault="00000000" w:rsidRPr="00000000" w14:paraId="00000059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  <w:t xml:space="preserve"> </w:t>
      </w:r>
      <w:r w:rsidDel="00000000" w:rsidR="00000000" w:rsidRPr="00000000">
        <w:rPr>
          <w:vertAlign w:val="baseline"/>
          <w:rtl w:val="1"/>
        </w:rPr>
        <w:t xml:space="preserve">تنص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"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السجن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دار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إصلاح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وتأهيل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.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تخضع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السجون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وأماكن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الاحتجاز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للإشراف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القضائى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،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ويحظر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فيها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كل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ما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ينافى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كرامة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الإنسان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،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أو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يعرض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صحته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للخطر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.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وينظم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القانون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أحكام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إصلاح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تأهيل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المحكوم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عليهم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،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وتيسير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سبل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الحياة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الكريمة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لهم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بعد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الإفراج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عنهم</w:t>
      </w:r>
      <w:r w:rsidDel="00000000" w:rsidR="00000000" w:rsidRPr="00000000">
        <w:rPr>
          <w:sz w:val="20"/>
          <w:szCs w:val="20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ec-rf.org/" TargetMode="External"/><Relationship Id="rId8" Type="http://schemas.openxmlformats.org/officeDocument/2006/relationships/hyperlink" Target="mailto:Info@Rights-Freedoms.ORG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adalaheg.org/wp-content/uploads/2018/12/%D8%A3%D8%A8%D9%88-%D8%A7%D9%84%D9%81%D8%AA%D9%88%D8%AD.pdf?fbclid=IwAR0xZgyAevnLGhE2cKRwx-bu-1uqSGSYFDEB0AfFO-ZmI9gdlA26hn8RrEI" TargetMode="External"/><Relationship Id="rId2" Type="http://schemas.openxmlformats.org/officeDocument/2006/relationships/hyperlink" Target="https://www.ec-rf.net/?p=2824" TargetMode="External"/><Relationship Id="rId3" Type="http://schemas.openxmlformats.org/officeDocument/2006/relationships/hyperlink" Target="http://www.un.org/ar/universal-declaration-human-righ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